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2808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ноября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Ханкишиеву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Низами Надир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Ханкишиеву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Низами Надир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Ханкишиева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Низами Надир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6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19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8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7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0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 нарушение пункта 3.1.1 соглашения №</w:t>
      </w:r>
      <w:r>
        <w:rPr>
          <w:rStyle w:val="cat-UserDefinedgrp-21rplc-1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22.0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08.11.2023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Ханкишиев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Низами Надир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 может быть обжаловано в течение месяца со дня принятия решения суда в окончательной форме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 – Югры с подачей жалобы через мирового судью, принявшего решение.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6rplc-10">
    <w:name w:val="cat-PassportData grp-16 rplc-10"/>
    <w:basedOn w:val="DefaultParagraphFont"/>
  </w:style>
  <w:style w:type="character" w:customStyle="1" w:styleId="cat-ExternalSystemDefinedgrp-19rplc-11">
    <w:name w:val="cat-ExternalSystemDefined grp-19 rplc-11"/>
    <w:basedOn w:val="DefaultParagraphFont"/>
  </w:style>
  <w:style w:type="character" w:customStyle="1" w:styleId="cat-ExternalSystemDefinedgrp-18rplc-12">
    <w:name w:val="cat-ExternalSystemDefined grp-18 rplc-12"/>
    <w:basedOn w:val="DefaultParagraphFont"/>
  </w:style>
  <w:style w:type="character" w:customStyle="1" w:styleId="cat-ExternalSystemDefinedgrp-17rplc-13">
    <w:name w:val="cat-ExternalSystemDefined grp-17 rplc-13"/>
    <w:basedOn w:val="DefaultParagraphFont"/>
  </w:style>
  <w:style w:type="character" w:customStyle="1" w:styleId="cat-UserDefinedgrp-20rplc-14">
    <w:name w:val="cat-UserDefined grp-20 rplc-14"/>
    <w:basedOn w:val="DefaultParagraphFont"/>
  </w:style>
  <w:style w:type="character" w:customStyle="1" w:styleId="cat-UserDefinedgrp-21rplc-17">
    <w:name w:val="cat-UserDefined grp-21 rplc-17"/>
    <w:basedOn w:val="DefaultParagraphFont"/>
  </w:style>
  <w:style w:type="character" w:customStyle="1" w:styleId="cat-UserDefinedgrp-22rplc-26">
    <w:name w:val="cat-UserDefined grp-22 rplc-26"/>
    <w:basedOn w:val="DefaultParagraphFont"/>
  </w:style>
  <w:style w:type="character" w:customStyle="1" w:styleId="cat-UserDefinedgrp-23rplc-29">
    <w:name w:val="cat-UserDefined grp-23 rplc-2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